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Segoe UI" w:hAnsi="Segoe UI"/>
          <w:sz w:val="22"/>
        </w:rPr>
        <w:t>08/07/2025</w:t>
      </w:r>
    </w:p>
    <w:p/>
    <w:p>
      <w:r>
        <w:rPr>
          <w:rFonts w:ascii="Segoe UI" w:hAnsi="Segoe UI"/>
          <w:sz w:val="22"/>
        </w:rPr>
        <w:t>Dear Colleague,</w:t>
      </w:r>
    </w:p>
    <w:p>
      <w:r>
        <w:rPr>
          <w:rFonts w:ascii="Segoe UI" w:hAnsi="Segoe UI"/>
          <w:sz w:val="22"/>
        </w:rPr>
        <w:t>I am referring Mrs. Jones to you as she presented with abdominal discomfort for the past two to three months. The discomfort is most noticeable after consuming rich food. She denies weight loss or altered bowel habits; however, she identified occasional loosening of her bowel movements that tend to be slightly paler than usual. She is generally fit and well, but has a history of mild depression for which she takes **citalopram 20 mg daily**.</w:t>
      </w:r>
    </w:p>
    <w:p>
      <w:r>
        <w:rPr>
          <w:rFonts w:ascii="Segoe UI" w:hAnsi="Segoe UI"/>
          <w:sz w:val="22"/>
        </w:rPr>
        <w:t>Of note, this lady has an allergy to **penicillin**. She works as a secretary and has no significant family history of relevance. On physical examination, she appeared fairly well and was of average build. Her vital signs included a temperature of 36.2°C, a blood pressure of 142/67 mmHg, and a pulse rate of 81 bpm. Assessment of her skin, ENT, and lungs were unremarkable. Examination of the abdomen revealed a slightly tympanic abdomen with mild right upper quadrant discomfort.</w:t>
      </w:r>
    </w:p>
    <w:p>
      <w:r>
        <w:rPr>
          <w:rFonts w:ascii="Segoe UI" w:hAnsi="Segoe UI"/>
          <w:sz w:val="22"/>
        </w:rPr>
        <w:t>I arranged for her to have the appropriate investigations, which included a full blood count, inflammatory markers, renal functions, and liver function tests, all of which returned satisfactory outcomes. However, an ultrasound identified two gallbladder stones, which I suspect are the cause of her discomfort.</w:t>
      </w:r>
    </w:p>
    <w:p>
      <w:r>
        <w:rPr>
          <w:rFonts w:ascii="Segoe UI" w:hAnsi="Segoe UI"/>
          <w:sz w:val="22"/>
        </w:rPr>
        <w:t>Therefore, I would be grateful for your assistance.</w:t>
      </w:r>
    </w:p>
    <w:p>
      <w:r>
        <w:rPr>
          <w:rFonts w:ascii="Segoe UI" w:hAnsi="Segoe UI"/>
          <w:sz w:val="22"/>
        </w:rPr>
        <w:t>Yours sincerely,</w:t>
      </w:r>
    </w:p>
    <w:p/>
    <w:p>
      <w:r>
        <w:drawing>
          <wp:inline xmlns:a="http://schemas.openxmlformats.org/drawingml/2006/main" xmlns:pic="http://schemas.openxmlformats.org/drawingml/2006/picture">
            <wp:extent cx="978408" cy="535877"/>
            <wp:docPr id="1" name="Picture 1"/>
            <wp:cNvGraphicFramePr>
              <a:graphicFrameLocks noChangeAspect="1"/>
            </wp:cNvGraphicFramePr>
            <a:graphic>
              <a:graphicData uri="http://schemas.openxmlformats.org/drawingml/2006/picture">
                <pic:pic>
                  <pic:nvPicPr>
                    <pic:cNvPr id="0" name="amsignature_transparent.png"/>
                    <pic:cNvPicPr/>
                  </pic:nvPicPr>
                  <pic:blipFill>
                    <a:blip r:embed="rId9"/>
                    <a:stretch>
                      <a:fillRect/>
                    </a:stretch>
                  </pic:blipFill>
                  <pic:spPr>
                    <a:xfrm>
                      <a:off x="0" y="0"/>
                      <a:ext cx="978408" cy="535877"/>
                    </a:xfrm>
                    <a:prstGeom prst="rect"/>
                  </pic:spPr>
                </pic:pic>
              </a:graphicData>
            </a:graphic>
          </wp:inline>
        </w:drawing>
      </w:r>
    </w:p>
    <w:p>
      <w:r>
        <w:rPr>
          <w:rFonts w:ascii="Segoe UI" w:hAnsi="Segoe UI"/>
          <w:sz w:val="22"/>
        </w:rPr>
        <w:t>Dr. Ahmad Moukli M.D, MSc, MRCGP</w:t>
      </w:r>
    </w:p>
    <w:sectPr w:rsidR="00FC693F" w:rsidRPr="0006063C"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